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CC" w:rsidRPr="009116BF" w:rsidRDefault="00327BCC" w:rsidP="00327BCC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0"/>
          <w:szCs w:val="24"/>
        </w:rPr>
      </w:pPr>
      <w:r w:rsidRPr="009116BF">
        <w:rPr>
          <w:rFonts w:ascii="Times New Roman" w:hAnsi="Times New Roman"/>
          <w:b/>
          <w:color w:val="1F497D" w:themeColor="text2"/>
          <w:sz w:val="30"/>
          <w:szCs w:val="24"/>
        </w:rPr>
        <w:t>Manab Unnayan Kendra MIUK</w:t>
      </w:r>
    </w:p>
    <w:p w:rsidR="00327BCC" w:rsidRPr="009116BF" w:rsidRDefault="00327BCC" w:rsidP="00327BCC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0"/>
          <w:szCs w:val="24"/>
        </w:rPr>
      </w:pPr>
      <w:r w:rsidRPr="009116BF">
        <w:rPr>
          <w:rFonts w:ascii="Times New Roman" w:hAnsi="Times New Roman"/>
          <w:b/>
          <w:color w:val="1F497D" w:themeColor="text2"/>
          <w:sz w:val="30"/>
          <w:szCs w:val="24"/>
        </w:rPr>
        <w:t>Amjhupi, Meherpur.</w:t>
      </w:r>
    </w:p>
    <w:p w:rsidR="009116BF" w:rsidRPr="002506F1" w:rsidRDefault="009116BF" w:rsidP="00327BCC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10"/>
          <w:szCs w:val="20"/>
        </w:rPr>
      </w:pPr>
    </w:p>
    <w:p w:rsidR="00532DEF" w:rsidRDefault="00327BCC" w:rsidP="00327BCC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44"/>
          <w:szCs w:val="24"/>
          <w:u w:val="single"/>
        </w:rPr>
      </w:pPr>
      <w:r w:rsidRPr="004A6C12">
        <w:rPr>
          <w:rFonts w:ascii="Times New Roman" w:hAnsi="Times New Roman"/>
          <w:b/>
          <w:color w:val="1F497D" w:themeColor="text2"/>
          <w:sz w:val="44"/>
          <w:szCs w:val="24"/>
          <w:u w:val="single"/>
        </w:rPr>
        <w:t>Ongoing activities and Donors</w:t>
      </w:r>
    </w:p>
    <w:p w:rsidR="00C93242" w:rsidRDefault="00C93242" w:rsidP="00327BCC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4"/>
        </w:rPr>
      </w:pPr>
      <w:r>
        <w:rPr>
          <w:rFonts w:ascii="Times New Roman" w:hAnsi="Times New Roman"/>
          <w:b/>
          <w:color w:val="1F497D" w:themeColor="text2"/>
          <w:sz w:val="34"/>
          <w:szCs w:val="24"/>
          <w:u w:val="single"/>
        </w:rPr>
        <w:t>Update -2024</w:t>
      </w:r>
    </w:p>
    <w:p w:rsidR="00327BCC" w:rsidRPr="00157D14" w:rsidRDefault="00327BCC" w:rsidP="00327BCC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14"/>
          <w:szCs w:val="24"/>
          <w:u w:val="single"/>
        </w:rPr>
      </w:pPr>
    </w:p>
    <w:tbl>
      <w:tblPr>
        <w:tblW w:w="10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2419"/>
        <w:gridCol w:w="3108"/>
        <w:gridCol w:w="1544"/>
        <w:gridCol w:w="1648"/>
        <w:gridCol w:w="1600"/>
      </w:tblGrid>
      <w:tr w:rsidR="009116BF" w:rsidRPr="004A6C12" w:rsidTr="00385C04">
        <w:trPr>
          <w:trHeight w:val="641"/>
          <w:jc w:val="center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327BCC" w:rsidRPr="004A6C12" w:rsidRDefault="00327BCC" w:rsidP="009116B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b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b/>
                <w:szCs w:val="24"/>
              </w:rPr>
              <w:t>SL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327BCC" w:rsidRPr="004A6C12" w:rsidRDefault="00327BCC" w:rsidP="009116BF">
            <w:pPr>
              <w:pStyle w:val="NoSpacing"/>
              <w:ind w:left="0"/>
              <w:jc w:val="center"/>
              <w:rPr>
                <w:rFonts w:asciiTheme="majorHAnsi" w:hAnsiTheme="majorHAnsi"/>
              </w:rPr>
            </w:pPr>
            <w:r w:rsidRPr="004A6C12">
              <w:rPr>
                <w:rFonts w:asciiTheme="majorHAnsi" w:hAnsiTheme="majorHAnsi" w:cstheme="minorHAnsi"/>
                <w:b/>
                <w:szCs w:val="24"/>
              </w:rPr>
              <w:t>Name of Donor</w:t>
            </w:r>
          </w:p>
        </w:tc>
        <w:tc>
          <w:tcPr>
            <w:tcW w:w="3108" w:type="dxa"/>
            <w:shd w:val="clear" w:color="auto" w:fill="D9D9D9" w:themeFill="background1" w:themeFillShade="D9"/>
            <w:vAlign w:val="center"/>
          </w:tcPr>
          <w:p w:rsidR="00327BCC" w:rsidRPr="004A6C12" w:rsidRDefault="00327BCC" w:rsidP="009116B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b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b/>
                <w:szCs w:val="24"/>
              </w:rPr>
              <w:t>Project Title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327BCC" w:rsidRPr="004A6C12" w:rsidRDefault="00327BCC" w:rsidP="009116B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4A6C12">
              <w:rPr>
                <w:rFonts w:asciiTheme="majorHAnsi" w:hAnsiTheme="majorHAnsi" w:cstheme="minorHAnsi"/>
                <w:b/>
                <w:szCs w:val="24"/>
              </w:rPr>
              <w:t>Working Area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327BCC" w:rsidRPr="004A6C12" w:rsidRDefault="00327BCC" w:rsidP="009116B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4A6C12">
              <w:rPr>
                <w:rFonts w:asciiTheme="majorHAnsi" w:hAnsiTheme="majorHAnsi" w:cstheme="minorHAnsi"/>
                <w:b/>
                <w:szCs w:val="24"/>
              </w:rPr>
              <w:t>Project Duration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327BCC" w:rsidRPr="004A6C12" w:rsidRDefault="00327BCC" w:rsidP="009116B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4A6C12">
              <w:rPr>
                <w:rFonts w:asciiTheme="majorHAnsi" w:hAnsiTheme="majorHAnsi" w:cstheme="minorHAnsi"/>
                <w:b/>
                <w:szCs w:val="24"/>
              </w:rPr>
              <w:t>Budget</w:t>
            </w:r>
          </w:p>
        </w:tc>
      </w:tr>
      <w:tr w:rsidR="00743D2F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JNNPF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and Action Aid Bangladesh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Child and women rights advocacy Program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Meherpur, District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743D2F" w:rsidRPr="004A6C12" w:rsidRDefault="00743D2F" w:rsidP="00B57C35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 xml:space="preserve">From </w:t>
            </w:r>
            <w:r w:rsidR="00B57C35">
              <w:rPr>
                <w:rFonts w:asciiTheme="majorHAnsi" w:hAnsiTheme="majorHAnsi" w:cstheme="minorHAnsi"/>
                <w:i w:val="0"/>
                <w:szCs w:val="24"/>
              </w:rPr>
              <w:t>03/01/</w:t>
            </w:r>
            <w:proofErr w:type="spellStart"/>
            <w:r w:rsidR="00B57C35">
              <w:rPr>
                <w:rFonts w:asciiTheme="majorHAnsi" w:hAnsiTheme="majorHAnsi" w:cstheme="minorHAnsi"/>
                <w:i w:val="0"/>
                <w:szCs w:val="24"/>
              </w:rPr>
              <w:t>2021</w:t>
            </w:r>
            <w:r>
              <w:rPr>
                <w:rFonts w:asciiTheme="majorHAnsi" w:hAnsiTheme="majorHAnsi" w:cstheme="minorHAnsi"/>
                <w:i w:val="0"/>
                <w:szCs w:val="24"/>
              </w:rPr>
              <w:t>to</w:t>
            </w:r>
            <w:proofErr w:type="spellEnd"/>
            <w:r>
              <w:rPr>
                <w:rFonts w:asciiTheme="majorHAnsi" w:hAnsiTheme="majorHAnsi" w:cstheme="minorHAnsi"/>
                <w:i w:val="0"/>
                <w:szCs w:val="24"/>
              </w:rPr>
              <w:t xml:space="preserve"> </w:t>
            </w:r>
            <w:r w:rsidR="00B57C35">
              <w:rPr>
                <w:rFonts w:asciiTheme="majorHAnsi" w:hAnsiTheme="majorHAnsi" w:cstheme="minorHAnsi"/>
                <w:i w:val="0"/>
                <w:szCs w:val="24"/>
              </w:rPr>
              <w:t>30/12/2025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743D2F" w:rsidRPr="004A6C12" w:rsidRDefault="006B23D4" w:rsidP="00743D2F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35,70,800</w:t>
            </w:r>
            <w:r w:rsidR="00743D2F" w:rsidRPr="004A6C12">
              <w:rPr>
                <w:rFonts w:asciiTheme="majorHAnsi" w:hAnsiTheme="majorHAnsi" w:cstheme="minorHAnsi"/>
                <w:szCs w:val="24"/>
              </w:rPr>
              <w:t>/-</w:t>
            </w:r>
          </w:p>
        </w:tc>
      </w:tr>
      <w:tr w:rsidR="00743D2F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IDCOL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-Dhaka/</w:t>
            </w:r>
          </w:p>
          <w:p w:rsidR="00743D2F" w:rsidRPr="004A6C12" w:rsidRDefault="00743D2F" w:rsidP="00743D2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>USAID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ICS/Eco-friendly Improved Cook Oven Installation</w:t>
            </w:r>
            <w:bookmarkStart w:id="0" w:name="_GoBack"/>
            <w:bookmarkEnd w:id="0"/>
          </w:p>
        </w:tc>
        <w:tc>
          <w:tcPr>
            <w:tcW w:w="1544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Meherpur District</w:t>
            </w:r>
          </w:p>
        </w:tc>
        <w:tc>
          <w:tcPr>
            <w:tcW w:w="1648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01/01/12 to 30/12/24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743D2F" w:rsidRPr="004A6C12" w:rsidRDefault="006B23D4" w:rsidP="00743D2F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1,</w:t>
            </w:r>
            <w:r w:rsidR="00743D2F" w:rsidRPr="004A6C12">
              <w:rPr>
                <w:rFonts w:asciiTheme="majorHAnsi" w:hAnsiTheme="majorHAnsi" w:cstheme="minorHAnsi"/>
                <w:szCs w:val="24"/>
              </w:rPr>
              <w:t>57,00,000/-</w:t>
            </w:r>
          </w:p>
        </w:tc>
      </w:tr>
      <w:tr w:rsidR="00743D2F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BNFE</w:t>
            </w:r>
            <w:proofErr w:type="spellEnd"/>
            <w:r>
              <w:rPr>
                <w:rFonts w:asciiTheme="majorHAnsi" w:hAnsiTheme="majorHAnsi" w:cstheme="minorHAnsi"/>
                <w:i w:val="0"/>
                <w:szCs w:val="24"/>
              </w:rPr>
              <w:t xml:space="preserve"> </w:t>
            </w:r>
            <w:r w:rsidRPr="004A6C12">
              <w:rPr>
                <w:rFonts w:asciiTheme="majorHAnsi" w:hAnsiTheme="majorHAnsi" w:cstheme="minorHAnsi"/>
                <w:i w:val="0"/>
                <w:szCs w:val="24"/>
              </w:rPr>
              <w:t>(Bureau of Non Formal Education)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Out of School Children education Program 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Meherpur District</w:t>
            </w:r>
          </w:p>
        </w:tc>
        <w:tc>
          <w:tcPr>
            <w:tcW w:w="1648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01/10/2020 to 30/06/2025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13,51,28,500/-</w:t>
            </w:r>
          </w:p>
        </w:tc>
      </w:tr>
      <w:tr w:rsidR="00743D2F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743D2F" w:rsidRPr="004A6C12" w:rsidRDefault="00743D2F" w:rsidP="00743D2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SAWAB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Bangladesh &amp; </w:t>
            </w: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Naher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USA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743D2F" w:rsidRPr="004A6C12" w:rsidRDefault="00743D2F" w:rsidP="00785C9E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Livelihood Food Security &amp; W</w:t>
            </w:r>
            <w:r w:rsidR="00785C9E" w:rsidRPr="004A6C12">
              <w:rPr>
                <w:rFonts w:asciiTheme="majorHAnsi" w:hAnsiTheme="majorHAnsi" w:cstheme="minorHAnsi"/>
                <w:szCs w:val="24"/>
              </w:rPr>
              <w:t>A</w:t>
            </w:r>
            <w:r w:rsidR="00785C9E">
              <w:rPr>
                <w:rFonts w:asciiTheme="majorHAnsi" w:hAnsiTheme="majorHAnsi" w:cstheme="minorHAnsi"/>
                <w:szCs w:val="24"/>
              </w:rPr>
              <w:t>SH</w:t>
            </w:r>
            <w:r w:rsidR="00785C9E" w:rsidRPr="004A6C12">
              <w:rPr>
                <w:rFonts w:asciiTheme="majorHAnsi" w:hAnsiTheme="majorHAnsi" w:cstheme="minorHAnsi"/>
                <w:szCs w:val="24"/>
              </w:rPr>
              <w:t xml:space="preserve"> </w:t>
            </w:r>
            <w:r w:rsidRPr="004A6C12">
              <w:rPr>
                <w:rFonts w:asciiTheme="majorHAnsi" w:hAnsiTheme="majorHAnsi" w:cstheme="minorHAnsi"/>
                <w:szCs w:val="24"/>
              </w:rPr>
              <w:t>Project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743D2F" w:rsidRPr="004A6C12" w:rsidRDefault="00743D2F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 w:rsidR="003E2394"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  <w:r w:rsidR="003E2394">
              <w:rPr>
                <w:rFonts w:asciiTheme="majorHAnsi" w:hAnsiTheme="majorHAnsi" w:cstheme="minorHAnsi"/>
                <w:szCs w:val="24"/>
              </w:rPr>
              <w:t xml:space="preserve"> </w:t>
            </w:r>
            <w:proofErr w:type="spellStart"/>
            <w:r w:rsidR="003E2394">
              <w:rPr>
                <w:rFonts w:asciiTheme="majorHAnsi" w:hAnsiTheme="majorHAnsi" w:cstheme="minorHAnsi"/>
                <w:szCs w:val="24"/>
              </w:rPr>
              <w:t>Uazilla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743D2F" w:rsidRPr="004A6C12" w:rsidRDefault="00743D2F" w:rsidP="00B57C35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 xml:space="preserve">From </w:t>
            </w:r>
            <w:r w:rsidR="00B57C35">
              <w:rPr>
                <w:rFonts w:asciiTheme="majorHAnsi" w:hAnsiTheme="majorHAnsi" w:cstheme="minorHAnsi"/>
                <w:i w:val="0"/>
                <w:szCs w:val="24"/>
              </w:rPr>
              <w:t>20/07/</w:t>
            </w:r>
            <w:proofErr w:type="spellStart"/>
            <w:r w:rsidR="00B57C35">
              <w:rPr>
                <w:rFonts w:asciiTheme="majorHAnsi" w:hAnsiTheme="majorHAnsi" w:cstheme="minorHAnsi"/>
                <w:i w:val="0"/>
                <w:szCs w:val="24"/>
              </w:rPr>
              <w:t>2021</w:t>
            </w:r>
            <w:r>
              <w:rPr>
                <w:rFonts w:asciiTheme="majorHAnsi" w:hAnsiTheme="majorHAnsi" w:cstheme="minorHAnsi"/>
                <w:i w:val="0"/>
                <w:szCs w:val="24"/>
              </w:rPr>
              <w:t>to</w:t>
            </w:r>
            <w:proofErr w:type="spellEnd"/>
            <w:r>
              <w:rPr>
                <w:rFonts w:asciiTheme="majorHAnsi" w:hAnsiTheme="majorHAnsi" w:cstheme="minorHAnsi"/>
                <w:i w:val="0"/>
                <w:szCs w:val="24"/>
              </w:rPr>
              <w:t xml:space="preserve"> </w:t>
            </w:r>
            <w:r w:rsidR="00B57C35">
              <w:rPr>
                <w:rFonts w:asciiTheme="majorHAnsi" w:hAnsiTheme="majorHAnsi" w:cstheme="minorHAnsi"/>
                <w:i w:val="0"/>
                <w:szCs w:val="24"/>
              </w:rPr>
              <w:t>19/06/</w:t>
            </w:r>
            <w:r w:rsidR="00293F58">
              <w:rPr>
                <w:rFonts w:asciiTheme="majorHAnsi" w:hAnsiTheme="majorHAnsi" w:cstheme="minorHAnsi"/>
                <w:i w:val="0"/>
                <w:szCs w:val="24"/>
              </w:rPr>
              <w:t>20</w:t>
            </w:r>
            <w:r w:rsidR="00B57C35">
              <w:rPr>
                <w:rFonts w:asciiTheme="majorHAnsi" w:hAnsiTheme="majorHAnsi" w:cstheme="minorHAnsi"/>
                <w:i w:val="0"/>
                <w:szCs w:val="24"/>
              </w:rPr>
              <w:t>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743D2F" w:rsidRPr="004A6C12" w:rsidRDefault="006B23D4" w:rsidP="00743D2F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1,75,</w:t>
            </w:r>
            <w:r w:rsidR="00743D2F" w:rsidRPr="004A6C12">
              <w:rPr>
                <w:rFonts w:asciiTheme="majorHAnsi" w:hAnsiTheme="majorHAnsi" w:cstheme="minorHAnsi"/>
                <w:szCs w:val="24"/>
              </w:rPr>
              <w:t>27,000/-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5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>Bangladesh Women Affairs Bureau.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Training Support for the Antenatal mothers and 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VWB</w:t>
            </w:r>
            <w:proofErr w:type="spellEnd"/>
            <w:r w:rsidRPr="004A6C12">
              <w:rPr>
                <w:rFonts w:asciiTheme="majorHAnsi" w:hAnsiTheme="majorHAnsi" w:cstheme="minorHAnsi"/>
                <w:szCs w:val="24"/>
              </w:rPr>
              <w:t xml:space="preserve"> card Holders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Uazilla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Gangni</w:t>
            </w:r>
            <w:proofErr w:type="spellEnd"/>
          </w:p>
        </w:tc>
        <w:tc>
          <w:tcPr>
            <w:tcW w:w="164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17/07/2019 to 31/12/2025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2</w:t>
            </w:r>
            <w:r w:rsidRPr="004A6C12">
              <w:rPr>
                <w:rFonts w:asciiTheme="majorHAnsi" w:hAnsiTheme="majorHAnsi" w:cstheme="minorHAnsi"/>
                <w:szCs w:val="24"/>
              </w:rPr>
              <w:t>9,13,500/-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6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>Drink-well International &amp; NGO Forum for Public Health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WATSAN</w:t>
            </w:r>
            <w:proofErr w:type="spellEnd"/>
            <w:r w:rsidRPr="004A6C12">
              <w:rPr>
                <w:rFonts w:asciiTheme="majorHAnsi" w:hAnsiTheme="majorHAnsi" w:cstheme="minorHAnsi"/>
                <w:szCs w:val="24"/>
              </w:rPr>
              <w:t>/Arsenic Mitigation Project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Uazilla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Gangni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01/07/2022 to 19/06/2025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87,13,850/-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7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ALRD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-Dhaka/ German </w:t>
            </w: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Misereor</w:t>
            </w:r>
            <w:proofErr w:type="spellEnd"/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Marginalized indigenous women &amp; Child rights &amp;People’s Cooperative Project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</w:p>
        </w:tc>
        <w:tc>
          <w:tcPr>
            <w:tcW w:w="164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09/01/2019 to 30/12/2024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32,27,300/-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8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Muk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Sponsored and </w:t>
            </w: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BRAC</w:t>
            </w:r>
            <w:proofErr w:type="spellEnd"/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Micro Credit for socio-economic development program(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Samriddho</w:t>
            </w:r>
            <w:proofErr w:type="spellEnd"/>
            <w:r w:rsidRPr="004A6C12">
              <w:rPr>
                <w:rFonts w:asciiTheme="majorHAnsi" w:hAnsiTheme="majorHAnsi" w:cstheme="minorHAnsi"/>
                <w:szCs w:val="24"/>
              </w:rPr>
              <w:t>)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</w:p>
        </w:tc>
        <w:tc>
          <w:tcPr>
            <w:tcW w:w="164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 xml:space="preserve">Continuing  from 1997 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3</w:t>
            </w:r>
            <w:r w:rsidRPr="004A6C12">
              <w:rPr>
                <w:rFonts w:asciiTheme="majorHAnsi" w:hAnsiTheme="majorHAnsi" w:cstheme="minorHAnsi"/>
                <w:szCs w:val="24"/>
              </w:rPr>
              <w:t>,</w:t>
            </w:r>
            <w:r>
              <w:rPr>
                <w:rFonts w:asciiTheme="majorHAnsi" w:hAnsiTheme="majorHAnsi" w:cstheme="minorHAnsi"/>
                <w:szCs w:val="24"/>
              </w:rPr>
              <w:t>8</w:t>
            </w:r>
            <w:r w:rsidRPr="004A6C12">
              <w:rPr>
                <w:rFonts w:asciiTheme="majorHAnsi" w:hAnsiTheme="majorHAnsi" w:cstheme="minorHAnsi"/>
                <w:szCs w:val="24"/>
              </w:rPr>
              <w:t>5,48,250/-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9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CAMPE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and </w:t>
            </w: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Muk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Sponsored 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Formal Education; 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Trinonul</w:t>
            </w:r>
            <w:proofErr w:type="spellEnd"/>
            <w:r w:rsidRPr="004A6C12">
              <w:rPr>
                <w:rFonts w:asciiTheme="majorHAnsi" w:hAnsiTheme="majorHAnsi" w:cstheme="minorHAnsi"/>
                <w:szCs w:val="24"/>
              </w:rPr>
              <w:t xml:space="preserve"> Model Academy  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Uazilla</w:t>
            </w:r>
            <w:proofErr w:type="spellEnd"/>
          </w:p>
        </w:tc>
        <w:tc>
          <w:tcPr>
            <w:tcW w:w="164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 xml:space="preserve">Continuing  from 2006 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2</w:t>
            </w:r>
            <w:r w:rsidRPr="004A6C12">
              <w:rPr>
                <w:rFonts w:asciiTheme="majorHAnsi" w:hAnsiTheme="majorHAnsi" w:cstheme="minorHAnsi"/>
                <w:szCs w:val="24"/>
              </w:rPr>
              <w:t>5,68,230/-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10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Ministry of Child Labor 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Education and technical training Program, Dhaka  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Dhaka, South City Corporation  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15/02/2022 to 30/12/2025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1,14,53,150/-</w:t>
            </w:r>
          </w:p>
        </w:tc>
      </w:tr>
      <w:tr w:rsidR="003E2394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>11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b/>
                <w:i w:val="0"/>
                <w:szCs w:val="24"/>
              </w:rPr>
              <w:t>CAMPE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</w:t>
            </w:r>
          </w:p>
          <w:p w:rsidR="003E2394" w:rsidRPr="004A6C12" w:rsidRDefault="00B20362" w:rsidP="003E2394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(</w:t>
            </w:r>
            <w:r w:rsidR="003E2394"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Campaign for </w:t>
            </w:r>
            <w:proofErr w:type="spellStart"/>
            <w:r w:rsidR="003E2394" w:rsidRPr="004A6C12">
              <w:rPr>
                <w:rFonts w:asciiTheme="majorHAnsi" w:hAnsiTheme="majorHAnsi" w:cstheme="minorHAnsi"/>
                <w:i w:val="0"/>
                <w:szCs w:val="24"/>
              </w:rPr>
              <w:t>Populer</w:t>
            </w:r>
            <w:proofErr w:type="spellEnd"/>
            <w:r w:rsidR="003E2394"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Education</w:t>
            </w:r>
            <w:r>
              <w:rPr>
                <w:rFonts w:asciiTheme="majorHAnsi" w:hAnsiTheme="majorHAnsi" w:cstheme="minorHAnsi"/>
                <w:i w:val="0"/>
                <w:szCs w:val="24"/>
              </w:rPr>
              <w:t>)</w:t>
            </w:r>
            <w:r w:rsidR="003E2394"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 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“Education WATCH Program” under ‘Education Out Loud Project’ 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E2394" w:rsidRPr="004A6C12" w:rsidRDefault="003E2394" w:rsidP="00157D1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Amjhupi, 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Amdha</w:t>
            </w:r>
            <w:proofErr w:type="spellEnd"/>
            <w:r w:rsidRPr="004A6C12">
              <w:rPr>
                <w:rFonts w:asciiTheme="majorHAnsi" w:hAnsiTheme="majorHAnsi" w:cstheme="minorHAnsi"/>
                <w:szCs w:val="24"/>
              </w:rPr>
              <w:t xml:space="preserve"> &amp; </w:t>
            </w:r>
            <w:proofErr w:type="spellStart"/>
            <w:r w:rsidRPr="004A6C12">
              <w:rPr>
                <w:rFonts w:asciiTheme="majorHAnsi" w:hAnsiTheme="majorHAnsi" w:cstheme="minorHAnsi"/>
                <w:szCs w:val="24"/>
              </w:rPr>
              <w:t>Baradi</w:t>
            </w:r>
            <w:proofErr w:type="spellEnd"/>
            <w:r w:rsidRPr="004A6C12">
              <w:rPr>
                <w:rFonts w:asciiTheme="majorHAnsi" w:hAnsiTheme="majorHAnsi" w:cstheme="minorHAnsi"/>
                <w:szCs w:val="24"/>
              </w:rPr>
              <w:t xml:space="preserve"> union</w:t>
            </w:r>
          </w:p>
        </w:tc>
        <w:tc>
          <w:tcPr>
            <w:tcW w:w="1648" w:type="dxa"/>
            <w:shd w:val="clear" w:color="auto" w:fill="FFFFFF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01/01/2022 to 30/03/2023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E2394" w:rsidRPr="004A6C12" w:rsidRDefault="003E2394" w:rsidP="003E2394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28,72,000/-</w:t>
            </w:r>
          </w:p>
        </w:tc>
      </w:tr>
      <w:tr w:rsidR="00B14B5F" w:rsidRPr="004A6C12" w:rsidTr="00385C04">
        <w:trPr>
          <w:trHeight w:val="909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12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b/>
                <w:i w:val="0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i w:val="0"/>
                <w:szCs w:val="24"/>
              </w:rPr>
              <w:t>BNF</w:t>
            </w:r>
            <w:proofErr w:type="spellEnd"/>
            <w:r>
              <w:rPr>
                <w:rFonts w:asciiTheme="majorHAnsi" w:hAnsiTheme="majorHAnsi" w:cstheme="minorHAnsi"/>
                <w:b/>
                <w:i w:val="0"/>
                <w:szCs w:val="24"/>
              </w:rPr>
              <w:t xml:space="preserve"> (</w:t>
            </w:r>
            <w:r w:rsidRPr="00B20362">
              <w:rPr>
                <w:rFonts w:asciiTheme="majorHAnsi" w:hAnsiTheme="majorHAnsi" w:cstheme="minorHAnsi"/>
                <w:i w:val="0"/>
                <w:szCs w:val="24"/>
              </w:rPr>
              <w:t xml:space="preserve">Bangladesh </w:t>
            </w:r>
            <w:r>
              <w:rPr>
                <w:rFonts w:asciiTheme="majorHAnsi" w:hAnsiTheme="majorHAnsi" w:cstheme="minorHAnsi"/>
                <w:i w:val="0"/>
                <w:szCs w:val="24"/>
              </w:rPr>
              <w:t>NGO Foundation)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14B5F" w:rsidRPr="004A6C12" w:rsidRDefault="00074DCC" w:rsidP="00074DCC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 xml:space="preserve">Home  Gardening and  Livestock Program for </w:t>
            </w:r>
            <w:proofErr w:type="spellStart"/>
            <w:r>
              <w:rPr>
                <w:rFonts w:asciiTheme="majorHAnsi" w:hAnsiTheme="majorHAnsi" w:cstheme="minorHAnsi"/>
                <w:i w:val="0"/>
                <w:szCs w:val="24"/>
              </w:rPr>
              <w:t>Marzinalised</w:t>
            </w:r>
            <w:proofErr w:type="spellEnd"/>
            <w:r>
              <w:rPr>
                <w:rFonts w:asciiTheme="majorHAnsi" w:hAnsiTheme="majorHAnsi" w:cstheme="minorHAnsi"/>
                <w:i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i w:val="0"/>
                <w:szCs w:val="24"/>
              </w:rPr>
              <w:t>Haldar</w:t>
            </w:r>
            <w:proofErr w:type="spellEnd"/>
            <w:r>
              <w:rPr>
                <w:rFonts w:asciiTheme="majorHAnsi" w:hAnsiTheme="majorHAnsi" w:cstheme="minorHAnsi"/>
                <w:i w:val="0"/>
                <w:szCs w:val="24"/>
              </w:rPr>
              <w:t xml:space="preserve">/Das &amp; Dalits Community 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Uazilla</w:t>
            </w:r>
            <w:proofErr w:type="spellEnd"/>
          </w:p>
        </w:tc>
        <w:tc>
          <w:tcPr>
            <w:tcW w:w="1648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03/05/2021 to 30/04/2025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14B5F" w:rsidRDefault="008D7A0C" w:rsidP="00B14B5F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19,50,000/-</w:t>
            </w:r>
          </w:p>
        </w:tc>
      </w:tr>
      <w:tr w:rsidR="00B14B5F" w:rsidRPr="004A6C12" w:rsidTr="00385C04">
        <w:trPr>
          <w:trHeight w:val="1065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13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76" w:right="166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proofErr w:type="spellStart"/>
            <w:r w:rsidRPr="004A6C12">
              <w:rPr>
                <w:rFonts w:asciiTheme="majorHAnsi" w:hAnsiTheme="majorHAnsi" w:cstheme="minorHAnsi"/>
                <w:i w:val="0"/>
                <w:szCs w:val="24"/>
              </w:rPr>
              <w:t>Muk</w:t>
            </w:r>
            <w:proofErr w:type="spellEnd"/>
            <w:r w:rsidRPr="004A6C12">
              <w:rPr>
                <w:rFonts w:asciiTheme="majorHAnsi" w:hAnsiTheme="majorHAnsi" w:cstheme="minorHAnsi"/>
                <w:i w:val="0"/>
                <w:szCs w:val="24"/>
              </w:rPr>
              <w:t xml:space="preserve"> Sponsored </w:t>
            </w:r>
            <w:r>
              <w:rPr>
                <w:rFonts w:asciiTheme="majorHAnsi" w:hAnsiTheme="majorHAnsi" w:cstheme="minorHAnsi"/>
                <w:i w:val="0"/>
                <w:szCs w:val="24"/>
              </w:rPr>
              <w:t xml:space="preserve">&amp; Health and Family Planning 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B14B5F" w:rsidRPr="004A6C12" w:rsidRDefault="0059027B" w:rsidP="0059027B">
            <w:pPr>
              <w:pStyle w:val="NoSpacing"/>
              <w:ind w:left="0"/>
              <w:jc w:val="left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 xml:space="preserve">Health care Support for the Mother, Child Underprivileged Senior Citizen 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szCs w:val="24"/>
              </w:rPr>
            </w:pPr>
            <w:r w:rsidRPr="004A6C12">
              <w:rPr>
                <w:rFonts w:asciiTheme="majorHAnsi" w:hAnsiTheme="majorHAnsi" w:cstheme="minorHAnsi"/>
                <w:szCs w:val="24"/>
              </w:rPr>
              <w:t xml:space="preserve">Meherpur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Sadar</w:t>
            </w:r>
            <w:proofErr w:type="spellEnd"/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Cs w:val="24"/>
              </w:rPr>
              <w:t>Uazilla</w:t>
            </w:r>
            <w:proofErr w:type="spellEnd"/>
          </w:p>
        </w:tc>
        <w:tc>
          <w:tcPr>
            <w:tcW w:w="1648" w:type="dxa"/>
            <w:shd w:val="clear" w:color="auto" w:fill="FFFFFF"/>
            <w:vAlign w:val="center"/>
          </w:tcPr>
          <w:p w:rsidR="00B14B5F" w:rsidRPr="004A6C12" w:rsidRDefault="00B14B5F" w:rsidP="00B14B5F">
            <w:pPr>
              <w:pStyle w:val="NoSpacing"/>
              <w:ind w:left="0"/>
              <w:jc w:val="center"/>
              <w:rPr>
                <w:rFonts w:asciiTheme="majorHAnsi" w:hAnsiTheme="majorHAnsi" w:cstheme="minorHAnsi"/>
                <w:i w:val="0"/>
                <w:szCs w:val="24"/>
              </w:rPr>
            </w:pPr>
            <w:r>
              <w:rPr>
                <w:rFonts w:asciiTheme="majorHAnsi" w:hAnsiTheme="majorHAnsi" w:cstheme="minorHAnsi"/>
                <w:i w:val="0"/>
                <w:szCs w:val="24"/>
              </w:rPr>
              <w:t>From 01/06/2022 to 30/10/2025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14B5F" w:rsidRDefault="008D7A0C" w:rsidP="00B14B5F">
            <w:pPr>
              <w:pStyle w:val="NoSpacing"/>
              <w:ind w:left="0"/>
              <w:jc w:val="right"/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>5,45,000/-</w:t>
            </w:r>
          </w:p>
        </w:tc>
      </w:tr>
    </w:tbl>
    <w:p w:rsidR="00047849" w:rsidRDefault="00047849"/>
    <w:sectPr w:rsidR="00047849" w:rsidSect="0059027B">
      <w:pgSz w:w="11909" w:h="16834" w:code="9"/>
      <w:pgMar w:top="426" w:right="720" w:bottom="426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CC"/>
    <w:rsid w:val="00042EDF"/>
    <w:rsid w:val="00044EBF"/>
    <w:rsid w:val="00047849"/>
    <w:rsid w:val="00074DCC"/>
    <w:rsid w:val="00152CE0"/>
    <w:rsid w:val="00157D14"/>
    <w:rsid w:val="001652DD"/>
    <w:rsid w:val="00180A3D"/>
    <w:rsid w:val="002506F1"/>
    <w:rsid w:val="00293F58"/>
    <w:rsid w:val="002F4CD7"/>
    <w:rsid w:val="00327BCC"/>
    <w:rsid w:val="003411AD"/>
    <w:rsid w:val="00385C04"/>
    <w:rsid w:val="003E2394"/>
    <w:rsid w:val="00402E5B"/>
    <w:rsid w:val="00430E63"/>
    <w:rsid w:val="0045481F"/>
    <w:rsid w:val="00457B73"/>
    <w:rsid w:val="004A6C12"/>
    <w:rsid w:val="004E21EB"/>
    <w:rsid w:val="00532DEF"/>
    <w:rsid w:val="00550207"/>
    <w:rsid w:val="0059027B"/>
    <w:rsid w:val="006B23D4"/>
    <w:rsid w:val="00730A54"/>
    <w:rsid w:val="00743D2F"/>
    <w:rsid w:val="00785C9E"/>
    <w:rsid w:val="00872154"/>
    <w:rsid w:val="008D7A0C"/>
    <w:rsid w:val="0090758A"/>
    <w:rsid w:val="00907F19"/>
    <w:rsid w:val="009116BF"/>
    <w:rsid w:val="00987C26"/>
    <w:rsid w:val="009939D9"/>
    <w:rsid w:val="009A3280"/>
    <w:rsid w:val="00A06C7B"/>
    <w:rsid w:val="00AE3E47"/>
    <w:rsid w:val="00B14B5F"/>
    <w:rsid w:val="00B20362"/>
    <w:rsid w:val="00B57C35"/>
    <w:rsid w:val="00B621CD"/>
    <w:rsid w:val="00B8178D"/>
    <w:rsid w:val="00BA2C8D"/>
    <w:rsid w:val="00C93242"/>
    <w:rsid w:val="00CB0E28"/>
    <w:rsid w:val="00EB4E28"/>
    <w:rsid w:val="00EB5D22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78541-3C97-46F2-8BF7-45764952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BC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B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7BC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Spacing">
    <w:name w:val="No Spacing"/>
    <w:link w:val="NoSpacingChar"/>
    <w:uiPriority w:val="1"/>
    <w:qFormat/>
    <w:rsid w:val="00327BCC"/>
    <w:pPr>
      <w:spacing w:after="0" w:line="240" w:lineRule="auto"/>
      <w:ind w:left="720"/>
      <w:jc w:val="both"/>
    </w:pPr>
    <w:rPr>
      <w:rFonts w:ascii="Calibri" w:eastAsia="Times New Roman" w:hAnsi="Calibri" w:cs="Times New Roman"/>
      <w:i/>
      <w:sz w:val="24"/>
    </w:rPr>
  </w:style>
  <w:style w:type="character" w:customStyle="1" w:styleId="NoSpacingChar">
    <w:name w:val="No Spacing Char"/>
    <w:link w:val="NoSpacing"/>
    <w:uiPriority w:val="1"/>
    <w:rsid w:val="00327BCC"/>
    <w:rPr>
      <w:rFonts w:ascii="Calibri" w:eastAsia="Times New Roman" w:hAnsi="Calibri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</dc:creator>
  <cp:lastModifiedBy>Microsoft account</cp:lastModifiedBy>
  <cp:revision>38</cp:revision>
  <cp:lastPrinted>2022-02-02T12:26:00Z</cp:lastPrinted>
  <dcterms:created xsi:type="dcterms:W3CDTF">2024-07-20T07:53:00Z</dcterms:created>
  <dcterms:modified xsi:type="dcterms:W3CDTF">2024-07-21T04:41:00Z</dcterms:modified>
</cp:coreProperties>
</file>